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3B" w:rsidRDefault="00AD10C4" w:rsidP="00AD10C4">
      <w:pP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</w:pPr>
      <w: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  <w:t>Аппарат АТК Кизилюртовского района составил план работы с главами сельских поселений</w:t>
      </w:r>
    </w:p>
    <w:p w:rsidR="00AD10C4" w:rsidRDefault="00AD10C4" w:rsidP="00AD10C4">
      <w:pP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20"/>
          <w:sz w:val="39"/>
          <w:szCs w:val="39"/>
          <w:shd w:val="clear" w:color="auto" w:fill="EDF1F3"/>
        </w:rPr>
        <w:drawing>
          <wp:inline distT="0" distB="0" distL="0" distR="0">
            <wp:extent cx="5286117" cy="3966875"/>
            <wp:effectExtent l="19050" t="0" r="0" b="0"/>
            <wp:docPr id="1" name="Рисунок 1" descr="C:\Users\гыук\Desktop\IMG_20190129_11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129_114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59" cy="39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29 января заместитель главы администрации района,  руководитель аппарата АТК Кизилюртовского района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Абдурахман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Хабибулаев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провел рабочее совещание с главами сельских поселений по вопросам, направленным  на повышение эффективности профилактической работы в муниципальном образовании.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Абдурахман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Хабибулаев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нацелил руководителей сел на активное противодействие идеологии экстремизма и терроризма во всех населенных пунктах района, в том числе и в образовательных учреждениях, на организацию  мероприятий профилактического характера. "Все проводимые мероприятия должны быть согласованы с аппаратом АТК района  и освещены в СМИ", - заключил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Хабибулаев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В целях совершенствования работы в данном направлении и повышения  эффективности проводимой профилактической работы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Абдурахман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Хабибулаев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порекомендовал: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lastRenderedPageBreak/>
        <w:t xml:space="preserve">1. При организации и планировании адресно-профилактической работы учитывать оперативную обстановку в населенном пункте путем определения проживающих в нем лиц, наиболее подверженных идеологии терроризма (с.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Чонтаул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3C4348"/>
          <w:spacing w:val="9"/>
          <w:sz w:val="22"/>
          <w:szCs w:val="22"/>
        </w:rPr>
        <w:t>Комсомольское</w:t>
      </w:r>
      <w:proofErr w:type="gram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, Кироваул, Нечаевка,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Стальское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)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3. В процессе осуществления адресно-профилактической работы активнее практиковать привлечение к проводимым мероприятиям лиц, ранее осужденных за преступления террористической и экстремистской направленности, а также членов семей уничтоженных членов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бандподполья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, родственников лиц, участвующих в деятельности международных террористических организаций.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>4. Повысить эффективность и качество мониторинга и анализа складывающейся в муниципальном образовании социально-экономической и общественно-политической обстановки (информационно-аналитические материалы в аппарат Антитеррористической комиссии в МР «Кизилюртовский район» главами сельских поселений не представляются, хотя сроки и порядок представления определены постановлением Главы района от 8 декабря 2017 года № 20-ПГ).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>5. Активизировать информационное обеспечение противодействия идеологии экстремизма и терроризма среди населения (размещать оперативную информацию на сайтах администраций сельских поселений и администрации района в разделе «Антитеррор»).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>6. Ввести в практику публичное осуждение преступной деятельности бандитов и подготовку тематических видеороликов совместно с аппаратом АТК района.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>7. Включить в планы глав сельских администраций по противодействию идеологии терроризма организацию адресной профилактической работы среди иностранцев, находящихся на территории муниципального образования; привлекать к участию в профилактической работе образовательные учреждения, работодателей, представителей общественных и религиозных организаций; проводить мероприятия культурно-просветительского и воспитательного характера для учащихся школ.</w:t>
      </w:r>
    </w:p>
    <w:p w:rsidR="00AD10C4" w:rsidRDefault="00AD10C4" w:rsidP="00AD10C4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> </w:t>
      </w:r>
    </w:p>
    <w:p w:rsidR="00AD10C4" w:rsidRPr="00AD10C4" w:rsidRDefault="00AD10C4" w:rsidP="00AD10C4">
      <w:pPr>
        <w:rPr>
          <w:szCs w:val="24"/>
        </w:rPr>
      </w:pPr>
    </w:p>
    <w:sectPr w:rsidR="00AD10C4" w:rsidRPr="00AD10C4" w:rsidSect="00A71E25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21B0"/>
    <w:rsid w:val="00053FF3"/>
    <w:rsid w:val="000808FD"/>
    <w:rsid w:val="000B1914"/>
    <w:rsid w:val="000D6731"/>
    <w:rsid w:val="001D7498"/>
    <w:rsid w:val="002921B0"/>
    <w:rsid w:val="0037123F"/>
    <w:rsid w:val="00434CF1"/>
    <w:rsid w:val="0049438F"/>
    <w:rsid w:val="0091733B"/>
    <w:rsid w:val="00A71E25"/>
    <w:rsid w:val="00A8171B"/>
    <w:rsid w:val="00AD10C4"/>
    <w:rsid w:val="00B678A5"/>
    <w:rsid w:val="00BA72DA"/>
    <w:rsid w:val="00D4578C"/>
    <w:rsid w:val="00E3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2019-01-28T09:18:00Z</dcterms:created>
  <dcterms:modified xsi:type="dcterms:W3CDTF">2019-01-31T13:17:00Z</dcterms:modified>
</cp:coreProperties>
</file>